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附件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default" w:ascii="黑体" w:hAnsi="Times New Roman" w:eastAsia="黑体" w:cs="Times New Roman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拟同意组建的202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自治区重点实验室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44"/>
          <w:szCs w:val="44"/>
        </w:rPr>
        <w:t>名单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/>
        </w:rPr>
      </w:pPr>
    </w:p>
    <w:tbl>
      <w:tblPr>
        <w:tblStyle w:val="4"/>
        <w:tblW w:w="503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3403"/>
        <w:gridCol w:w="1132"/>
        <w:gridCol w:w="3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实验室名称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实验室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依托单位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广西智慧精准医学重点实验室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袁育林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广西安仁欣生物科技有限公司、广西壮族自治区人民医院（广西医学科学院）、南宁市第一人民医院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广西新能源商用动力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钟玉伟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玉柴芯蓝新能源动力科技有限公司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广西长寿科技重点实验室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罗卫飞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广西爱生生命科技有限公司、广西科学院、广西大学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广西特钢新材料重点实验室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黄学忠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广西北港新材料有限公司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广西特色生物医药重点实验室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罗素兰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广西大学、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 xml:space="preserve"> 广西华仁医学科技集团有限公司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广西慢性病代谢重塑与智能医学工程重点实验室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莫碧文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桂林医学院、桂林电子科技大学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广西药物精准检测与筛选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杨  帆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广西医科大学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广西信息功能材料与智能信息处理重点实验室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李传起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南宁师范大学、润建股份有限公司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广西向海经济智能系统分析与决策重点实验室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  飞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广西财经学院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广西智能汽车多维信息融合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王国富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广西科技大学、柳州五菱新能源汽车有限公司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广西特种工程装备与控制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忠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桂林航天工业学院,广西徐沃工程机械设备有限公司,广西机械工程学会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广西生态铝绿色制造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曹阿林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百色学院,广西产研院新型功能材料研究所有限公司,重庆大学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广西生态脆弱区环境过程与修复重点实验室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宿程远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广西锰资源高值化利用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吴文伟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广西民族师范学院,南方锰业集团有限责任公司,广西鹏越生态科技有限公司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广西新污染物监测预警与环境健康评估重点实验室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蓓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广西壮族自治区生态环境监测中心、广西大学、生态环境部华南环境科学研究所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广西微波先进制造技术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黄志民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广西科学院、中国科学院空天信息创新研究院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广西数字基础设施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广西壮族自治区信息中心、广西大学、华为技术有限公司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广西道地药材高品质形成与应用重点实验室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韦树根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广西壮族自治区药用植物园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广西结直肠癌基础与转化研究重点实验室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唐卫中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广西壮族自治区肿瘤防治研究所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广西桂北特色经济作物种质创新与利用重点实验室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娄兵海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广西特色作物研究院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广西亚热带特色水果质量安全控制重点实验室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韦绍龙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广西壮族自治区亚热带作物研究所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广西蚕桑遗传改良与高效种养重点实验室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潘志新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广西壮族自治区蚕业技术推广站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86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广西六堡茶生物学与资源利用重点实验室</w:t>
            </w:r>
          </w:p>
        </w:tc>
        <w:tc>
          <w:tcPr>
            <w:tcW w:w="62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于翠平</w:t>
            </w:r>
          </w:p>
        </w:tc>
        <w:tc>
          <w:tcPr>
            <w:tcW w:w="211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梧州市农业科学研究所、梧州市食品药品检验所、华南农业大学</w:t>
            </w:r>
          </w:p>
        </w:tc>
      </w:tr>
    </w:tbl>
    <w:p>
      <w:pPr>
        <w:jc w:val="both"/>
        <w:rPr>
          <w:rFonts w:hint="eastAsia"/>
          <w:lang w:eastAsia="zh-CN"/>
        </w:rPr>
      </w:pPr>
    </w:p>
    <w:p/>
    <w:sectPr>
      <w:pgSz w:w="11906" w:h="16838"/>
      <w:pgMar w:top="2098" w:right="1531" w:bottom="1418" w:left="1531" w:header="851" w:footer="1418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CF68BB"/>
    <w:rsid w:val="15CF68BB"/>
    <w:rsid w:val="4CFD4E36"/>
    <w:rsid w:val="71EA06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widowControl w:val="0"/>
      <w:snapToGrid w:val="0"/>
      <w:jc w:val="left"/>
    </w:pPr>
    <w:rPr>
      <w:rFonts w:ascii="Calibri" w:hAnsi="Calibri" w:eastAsia="仿宋_GB2312" w:cs="Times New Roman"/>
      <w:kern w:val="2"/>
      <w:sz w:val="18"/>
      <w:szCs w:val="18"/>
      <w:lang w:val="en-US" w:eastAsia="zh-CN" w:bidi="ar-SA"/>
    </w:rPr>
  </w:style>
  <w:style w:type="paragraph" w:styleId="3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sz w:val="24"/>
      <w:szCs w:val="24"/>
      <w:lang w:val="en-US" w:eastAsia="zh-CN" w:bidi="ar-SA"/>
    </w:rPr>
  </w:style>
  <w:style w:type="character" w:customStyle="1" w:styleId="7">
    <w:name w:val="font01"/>
    <w:basedOn w:val="5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3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2023-08-14T07:39:00Z</dcterms:created>
  <dc:creator>李堃怡</dc:creator>
  <cp:lastModifiedBy>李堃怡</cp:lastModifiedBy>
  <dcterms:modified xsi:type="dcterms:W3CDTF">2023-08-14T07:40:52Z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