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5-1</w:t>
      </w:r>
    </w:p>
    <w:p>
      <w:pPr>
        <w:spacing w:line="360" w:lineRule="auto"/>
        <w:rPr>
          <w:rFonts w:hint="default" w:ascii="Times New Roman" w:hAnsi="Times New Roman" w:eastAsia="宋体" w:cs="Times New Roman"/>
          <w:sz w:val="30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eastAsia="宋体" w:cs="Times New Roman"/>
          <w:sz w:val="30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sz w:val="28"/>
        </w:rPr>
      </w:pPr>
    </w:p>
    <w:p>
      <w:pPr>
        <w:tabs>
          <w:tab w:val="left" w:pos="5220"/>
        </w:tabs>
        <w:jc w:val="center"/>
        <w:rPr>
          <w:rFonts w:hint="default" w:ascii="Times New Roman" w:hAnsi="Times New Roman" w:eastAsia="黑体" w:cs="Times New Roman"/>
          <w:sz w:val="52"/>
          <w:szCs w:val="52"/>
          <w:lang w:eastAsia="zh-CN"/>
        </w:rPr>
      </w:pPr>
      <w:r>
        <w:rPr>
          <w:rFonts w:hint="default" w:ascii="Times New Roman" w:hAnsi="Times New Roman" w:eastAsia="黑体" w:cs="Times New Roman"/>
          <w:sz w:val="52"/>
          <w:szCs w:val="52"/>
        </w:rPr>
        <w:t>绿色供应链管理</w:t>
      </w:r>
      <w:r>
        <w:rPr>
          <w:rFonts w:hint="default" w:ascii="Times New Roman" w:hAnsi="Times New Roman" w:eastAsia="黑体" w:cs="Times New Roman"/>
          <w:sz w:val="52"/>
          <w:szCs w:val="52"/>
          <w:lang w:eastAsia="zh-CN"/>
        </w:rPr>
        <w:t>企业</w:t>
      </w:r>
    </w:p>
    <w:p>
      <w:pPr>
        <w:tabs>
          <w:tab w:val="left" w:pos="5220"/>
        </w:tabs>
        <w:jc w:val="center"/>
        <w:rPr>
          <w:rFonts w:hint="default" w:ascii="Times New Roman" w:hAnsi="Times New Roman" w:eastAsia="黑体" w:cs="Times New Roman"/>
          <w:sz w:val="52"/>
          <w:szCs w:val="52"/>
        </w:rPr>
      </w:pPr>
      <w:r>
        <w:rPr>
          <w:rFonts w:hint="default" w:ascii="Times New Roman" w:hAnsi="Times New Roman" w:eastAsia="黑体" w:cs="Times New Roman"/>
          <w:sz w:val="52"/>
          <w:szCs w:val="52"/>
        </w:rPr>
        <w:t>自评价报告</w:t>
      </w:r>
    </w:p>
    <w:p>
      <w:pPr>
        <w:spacing w:line="360" w:lineRule="auto"/>
        <w:rPr>
          <w:rFonts w:hint="default" w:ascii="Times New Roman" w:hAnsi="Times New Roman" w:cs="Times New Roman"/>
          <w:b/>
          <w:sz w:val="52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32"/>
          <w:szCs w:val="32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32"/>
          <w:szCs w:val="32"/>
        </w:rPr>
      </w:pPr>
    </w:p>
    <w:p>
      <w:pPr>
        <w:spacing w:line="360" w:lineRule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>
      <w:pPr>
        <w:spacing w:line="360" w:lineRule="auto"/>
        <w:rPr>
          <w:rFonts w:hint="default" w:ascii="Times New Roman" w:hAnsi="Times New Roman" w:eastAsia="仿宋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ragraph">
                  <wp:posOffset>318135</wp:posOffset>
                </wp:positionV>
                <wp:extent cx="2592070" cy="635"/>
                <wp:effectExtent l="0" t="0" r="0" b="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9207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43.25pt;margin-top:25.05pt;height:0.05pt;width:204.1pt;z-index:251659264;mso-width-relative:page;mso-height-relative:page;" o:connectortype="straight" filled="f" coordsize="21600,21600" o:gfxdata="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peN5/2gAAAAkBAAAPAAAAAAAAAAEAIAAAACIAAABk&#10;cnMvZG93bnJldi54bWxQSwECFAAUAAAACACHTuJAMQQCLAQCAAD4AwAADgAAAAAAAAABACAAAAAp&#10;AQAAZHJzL2Uyb0RvYy54bWxQSwUGAAAAAAYABgBZAQAAnwUAAAAA&#10;">
                <v:path arrowok="t"/>
                <v:fill on="f" focussize="0,0"/>
                <v:stroke miterlimit="2"/>
                <v:imagedata o:title=""/>
                <o:lock v:ext="edit"/>
              </v:shape>
            </w:pict>
          </mc:Fallback>
        </mc:AlternateConten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申报单位：</w:t>
      </w:r>
    </w:p>
    <w:p>
      <w:pPr>
        <w:spacing w:line="360" w:lineRule="auto"/>
        <w:ind w:firstLine="1600" w:firstLineChars="500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spacing w:line="360" w:lineRule="auto"/>
        <w:ind w:firstLine="1600" w:firstLineChars="500"/>
        <w:rPr>
          <w:rFonts w:hint="default" w:ascii="Times New Roman" w:hAnsi="Times New Roman" w:eastAsia="仿宋" w:cs="Times New Roman"/>
          <w:sz w:val="32"/>
          <w:szCs w:val="32"/>
        </w:rPr>
      </w:pPr>
      <w:bookmarkStart w:id="0" w:name="_GoBack"/>
      <w:r>
        <w:rPr>
          <w:rFonts w:hint="default" w:ascii="Times New Roman" w:hAnsi="Times New Roman" w:eastAsia="仿宋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316230</wp:posOffset>
                </wp:positionV>
                <wp:extent cx="2592070" cy="635"/>
                <wp:effectExtent l="0" t="0" r="0" b="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9207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41.75pt;margin-top:24.9pt;height:0.05pt;width:204.1pt;z-index:251660288;mso-width-relative:page;mso-height-relative:page;" o:connectortype="straight" filled="f" coordsize="21600,21600" o:gfxdata="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QSV+wdoAAAAJAQAADwAAAAAAAAABACAAAAAiAAAA&#10;ZHJzL2Rvd25yZXYueG1sUEsBAhQAFAAAAAgAh07iQJmZYOgFAgAA+AMAAA4AAAAAAAAAAQAgAAAA&#10;KQEAAGRycy9lMm9Eb2MueG1sUEsFBgAAAAAGAAYAWQEAAKAFAAAAAA==&#10;">
                <v:path arrowok="t"/>
                <v:fill on="f" focussize="0,0"/>
                <v:stroke miterlimit="2"/>
                <v:imagedata o:title=""/>
                <o:lock v:ext="edit"/>
              </v:shape>
            </w:pict>
          </mc:Fallback>
        </mc:AlternateContent>
      </w:r>
      <w:bookmarkEnd w:id="0"/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所在省市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：                         </w:t>
      </w:r>
    </w:p>
    <w:p>
      <w:pPr>
        <w:spacing w:line="360" w:lineRule="auto"/>
        <w:ind w:firstLine="1920" w:firstLineChars="600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spacing w:line="360" w:lineRule="auto"/>
        <w:ind w:firstLine="0" w:firstLineChars="0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spacing w:line="360" w:lineRule="auto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spacing w:line="360" w:lineRule="auto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spacing w:line="360" w:lineRule="auto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工业和信息化部制</w:t>
      </w:r>
    </w:p>
    <w:p>
      <w:pPr>
        <w:spacing w:line="360" w:lineRule="auto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  年    月    日</w:t>
      </w:r>
    </w:p>
    <w:p>
      <w:pPr>
        <w:spacing w:line="360" w:lineRule="auto"/>
        <w:rPr>
          <w:rFonts w:hint="default" w:ascii="Times New Roman" w:hAnsi="Times New Roman" w:cs="Times New Roman"/>
          <w:b/>
          <w:sz w:val="30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spacing w:line="360" w:lineRule="auto"/>
        <w:jc w:val="both"/>
        <w:rPr>
          <w:rFonts w:hint="default" w:ascii="Times New Roman" w:hAnsi="Times New Roman" w:eastAsia="方正小标宋简体" w:cs="Times New Roman"/>
          <w:sz w:val="30"/>
        </w:rPr>
      </w:pPr>
    </w:p>
    <w:p>
      <w:pPr>
        <w:spacing w:line="360" w:lineRule="auto"/>
        <w:jc w:val="center"/>
        <w:rPr>
          <w:rFonts w:hint="default" w:ascii="Times New Roman" w:hAnsi="Times New Roman" w:eastAsia="黑体" w:cs="Times New Roman"/>
          <w:sz w:val="48"/>
          <w:szCs w:val="48"/>
        </w:rPr>
      </w:pPr>
      <w:r>
        <w:rPr>
          <w:rFonts w:hint="default" w:ascii="Times New Roman" w:hAnsi="Times New Roman" w:eastAsia="黑体" w:cs="Times New Roman"/>
          <w:sz w:val="36"/>
          <w:szCs w:val="36"/>
        </w:rPr>
        <w:t>填 写 说 明</w:t>
      </w:r>
    </w:p>
    <w:p>
      <w:pPr>
        <w:spacing w:line="360" w:lineRule="auto"/>
        <w:rPr>
          <w:rFonts w:hint="default" w:ascii="Times New Roman" w:hAnsi="Times New Roman" w:eastAsia="仿宋_GB2312" w:cs="Times New Roman"/>
          <w:b/>
          <w:sz w:val="30"/>
        </w:rPr>
      </w:pPr>
    </w:p>
    <w:p>
      <w:pPr>
        <w:tabs>
          <w:tab w:val="left" w:pos="1152"/>
        </w:tabs>
        <w:spacing w:line="580" w:lineRule="exac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一、申请企业应当准确、如实填报。</w:t>
      </w:r>
    </w:p>
    <w:p>
      <w:pPr>
        <w:tabs>
          <w:tab w:val="left" w:pos="1152"/>
        </w:tabs>
        <w:spacing w:line="580" w:lineRule="exac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二、所属行业请依据GB/T 4754-2017《国民经济行业分类》填写；单位性质依据营业执照中的类型填写。</w:t>
      </w:r>
    </w:p>
    <w:p>
      <w:pPr>
        <w:tabs>
          <w:tab w:val="left" w:pos="1152"/>
        </w:tabs>
        <w:spacing w:line="580" w:lineRule="exac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三、有关项目页面不够时，可加附页。</w:t>
      </w:r>
    </w:p>
    <w:p>
      <w:pPr>
        <w:spacing w:before="156" w:beforeLines="50" w:after="312" w:afterLines="100" w:line="360" w:lineRule="auto"/>
        <w:rPr>
          <w:rFonts w:hint="default" w:ascii="Times New Roman" w:hAnsi="Times New Roman" w:eastAsia="仿宋_GB2312" w:cs="Times New Roman"/>
          <w:sz w:val="28"/>
          <w:szCs w:val="28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基本信息表</w:t>
      </w:r>
    </w:p>
    <w:tbl>
      <w:tblPr>
        <w:tblStyle w:val="4"/>
        <w:tblpPr w:leftFromText="180" w:rightFromText="180" w:vertAnchor="text" w:tblpXSpec="center" w:tblpY="1"/>
        <w:tblOverlap w:val="never"/>
        <w:tblW w:w="0" w:type="auto"/>
        <w:tblInd w:w="0" w:type="dxa"/>
        <w:tblBorders>
          <w:top w:val="single" w:color="000000" w:sz="8" w:space="0"/>
          <w:left w:val="single" w:color="000000" w:sz="4" w:space="0"/>
          <w:bottom w:val="single" w:color="auto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3117"/>
        <w:gridCol w:w="1240"/>
        <w:gridCol w:w="2336"/>
      </w:tblGrid>
      <w:tr>
        <w:tblPrEx>
          <w:tblBorders>
            <w:top w:val="single" w:color="000000" w:sz="8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39" w:type="dxa"/>
            <w:tcBorders>
              <w:top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6693" w:type="dxa"/>
            <w:gridSpan w:val="3"/>
            <w:tcBorders>
              <w:top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3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6693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3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所属行业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lang w:val="en-US" w:eastAsia="zh-CN"/>
              </w:rPr>
              <w:t xml:space="preserve">主要产品  </w:t>
            </w:r>
          </w:p>
        </w:tc>
        <w:tc>
          <w:tcPr>
            <w:tcW w:w="233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3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lang w:eastAsia="zh-CN"/>
              </w:rPr>
              <w:t>单位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性质</w:t>
            </w:r>
          </w:p>
        </w:tc>
        <w:tc>
          <w:tcPr>
            <w:tcW w:w="6693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内资（□国有□集体□民营）□中外合资□港澳台□外商独资</w:t>
            </w:r>
          </w:p>
        </w:tc>
      </w:tr>
      <w:tr>
        <w:tblPrEx>
          <w:tblBorders>
            <w:top w:val="single" w:color="000000" w:sz="8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3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统一社会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信用代码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lang w:eastAsia="zh-CN"/>
              </w:rPr>
              <w:t>法定代表人</w:t>
            </w:r>
          </w:p>
        </w:tc>
        <w:tc>
          <w:tcPr>
            <w:tcW w:w="233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3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注册机关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注册资本</w:t>
            </w:r>
          </w:p>
        </w:tc>
        <w:tc>
          <w:tcPr>
            <w:tcW w:w="233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3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成立日期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有效期</w:t>
            </w:r>
          </w:p>
        </w:tc>
        <w:tc>
          <w:tcPr>
            <w:tcW w:w="233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3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申报工作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联系部门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233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3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233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3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企业简介</w:t>
            </w:r>
          </w:p>
        </w:tc>
        <w:tc>
          <w:tcPr>
            <w:tcW w:w="6693" w:type="dxa"/>
            <w:gridSpan w:val="3"/>
            <w:noWrap w:val="0"/>
            <w:vAlign w:val="top"/>
          </w:tcPr>
          <w:p>
            <w:pPr>
              <w:widowControl/>
              <w:spacing w:before="156" w:beforeLines="5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lang w:val="en-US" w:eastAsia="zh-CN"/>
              </w:rPr>
              <w:t>至少应包括：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企业基本情况、经营状况、上下游供应商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所获荣誉情况等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lang w:val="en-US" w:eastAsia="zh-CN"/>
              </w:rPr>
              <w:t>500字以内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lang w:eastAsia="zh-CN"/>
              </w:rPr>
              <w:t>）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2" w:hRule="atLeast"/>
        </w:trPr>
        <w:tc>
          <w:tcPr>
            <w:tcW w:w="163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绿色供应链创建经验及成效</w:t>
            </w:r>
          </w:p>
        </w:tc>
        <w:tc>
          <w:tcPr>
            <w:tcW w:w="6693" w:type="dxa"/>
            <w:gridSpan w:val="3"/>
            <w:noWrap w:val="0"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（从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绿色供应链管理战略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实施绿色供应商管理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绿色生产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绿色回收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绿色信息平台建设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绿色信息披露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等方面概述供应链创建的经验和成效，800字以内）</w:t>
            </w:r>
          </w:p>
        </w:tc>
      </w:tr>
      <w:tr>
        <w:tblPrEx>
          <w:tblBorders>
            <w:top w:val="single" w:color="000000" w:sz="8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0" w:hRule="atLeast"/>
        </w:trPr>
        <w:tc>
          <w:tcPr>
            <w:tcW w:w="833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  <w:t>材料真实性承诺:</w:t>
            </w:r>
          </w:p>
          <w:p>
            <w:pPr>
              <w:widowControl/>
              <w:ind w:firstLine="496" w:firstLineChars="207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  <w:p>
            <w:pPr>
              <w:widowControl/>
              <w:ind w:firstLine="496" w:firstLineChars="207"/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</w:rPr>
              <w:t>我单位郑重承诺：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  <w:lang w:val="en-US" w:eastAsia="zh-CN"/>
              </w:rPr>
              <w:t>本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highlight w:val="none"/>
                <w:lang w:val="en-US" w:eastAsia="zh-CN"/>
              </w:rPr>
              <w:t>企业近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  <w:lang w:val="en-US" w:eastAsia="zh-CN"/>
              </w:rPr>
              <w:t>三年未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</w:rPr>
              <w:t>发生安全（含网络安全、数据安全）、质量、环境污染等事故以及偷漏税等违法违规行为的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  <w:lang w:val="en-US" w:eastAsia="zh-CN"/>
              </w:rPr>
              <w:t>未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</w:rPr>
              <w:t>在国务院及有关部门相关督查工作中被发现存在严重问题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  <w:lang w:val="en-US" w:eastAsia="zh-CN"/>
              </w:rPr>
              <w:t>不在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</w:rPr>
              <w:t>工业节能监察整改名单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  <w:lang w:val="en-US" w:eastAsia="zh-CN"/>
              </w:rPr>
              <w:t>且不属于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</w:rPr>
              <w:t>失信被执行人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  <w:lang w:eastAsia="zh-CN"/>
              </w:rPr>
              <w:t>。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</w:rPr>
              <w:t>本次申报绿色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highlight w:val="none"/>
                <w:lang w:val="en-US" w:eastAsia="zh-CN"/>
              </w:rPr>
              <w:t>供应链管理企业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</w:rPr>
              <w:t>所提交的相关数据和信息均真实、有效，愿接受并积极配合主管部门的监督抽查和核验。如有违反，愿承担由此产生的相应责任。</w:t>
            </w:r>
          </w:p>
          <w:p>
            <w:pPr>
              <w:widowControl/>
              <w:ind w:firstLine="496" w:firstLineChars="207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  <w:p>
            <w:pPr>
              <w:widowControl/>
              <w:ind w:firstLine="496" w:firstLineChars="207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  <w:p>
            <w:pPr>
              <w:widowControl/>
              <w:wordWrap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lang w:val="en-US" w:eastAsia="zh-CN"/>
              </w:rPr>
              <w:t xml:space="preserve">                         </w:t>
            </w:r>
            <w:r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highlight w:val="none"/>
              </w:rPr>
              <w:t xml:space="preserve">法人或单位负责人签字：          </w:t>
            </w:r>
          </w:p>
          <w:p>
            <w:pPr>
              <w:widowControl/>
              <w:wordWrap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highlight w:val="none"/>
                <w:lang w:val="en-US" w:eastAsia="zh-CN"/>
              </w:rPr>
              <w:t xml:space="preserve">                                 </w:t>
            </w: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highlight w:val="none"/>
              </w:rPr>
              <w:t>（</w:t>
            </w: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highlight w:val="none"/>
                <w:lang w:eastAsia="zh-CN"/>
              </w:rPr>
              <w:t>公</w:t>
            </w: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highlight w:val="none"/>
              </w:rPr>
              <w:t>章）</w:t>
            </w:r>
          </w:p>
          <w:p>
            <w:pPr>
              <w:widowControl/>
              <w:wordWrap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highlight w:val="none"/>
                <w:lang w:val="en-US" w:eastAsia="zh-CN"/>
              </w:rPr>
              <w:t xml:space="preserve">                                            </w:t>
            </w: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highlight w:val="none"/>
              </w:rPr>
              <w:t>日期：</w:t>
            </w:r>
            <w:r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highlight w:val="none"/>
              </w:rPr>
              <w:t xml:space="preserve">          </w:t>
            </w: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  <w:t xml:space="preserve"> </w:t>
            </w:r>
          </w:p>
          <w:p>
            <w:pPr>
              <w:widowControl/>
              <w:jc w:val="righ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  <w:t xml:space="preserve">         </w:t>
            </w:r>
          </w:p>
        </w:tc>
      </w:tr>
    </w:tbl>
    <w:p>
      <w:pPr>
        <w:numPr>
          <w:ilvl w:val="0"/>
          <w:numId w:val="1"/>
        </w:numPr>
        <w:spacing w:before="0" w:beforeLines="0" w:after="0" w:afterLines="0" w:line="360" w:lineRule="auto"/>
        <w:ind w:firstLine="640" w:firstLineChars="200"/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企业基本情况</w:t>
      </w:r>
    </w:p>
    <w:p>
      <w:pPr>
        <w:pStyle w:val="7"/>
        <w:ind w:firstLine="640"/>
        <w:outlineLvl w:val="9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概述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企业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的基本信息、发展现状、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主要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产品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生产经营状况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供应商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以及在绿色发展方面开展的重点工作及取得的成绩等。</w:t>
      </w:r>
    </w:p>
    <w:p>
      <w:pPr>
        <w:numPr>
          <w:ilvl w:val="0"/>
          <w:numId w:val="1"/>
        </w:numPr>
        <w:spacing w:before="0" w:beforeLines="0" w:after="0" w:afterLines="0" w:line="360" w:lineRule="auto"/>
        <w:ind w:firstLine="640" w:firstLineChars="200"/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绿色供应链创建情况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对照《绿色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供应链管理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评价要求》（电子电器、机械、汽车行业应根据“绿色供应链管理评价标准清单”中的评价指标体系）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对企业基本要求的符合性以及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绿色供应链管理战略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实施绿色供应商管理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绿色生产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绿色回收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绿色信息平台建设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绿色信息披露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等内容进行情况描述。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1.基本要求的符合性。主要描述附表1.1中各项要求的符合情况。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2.绿色供应链管理战略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情况。主要描述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企业在绿色供应链管理战略方面开展的工作做法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，以及相关标准落实情况。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3.绿色供应商管理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情况。主要描述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企业绿色供应商管理方面开展的工作做法，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以及相关标准落实情况。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4.绿色生产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情况。主要描述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企业绿色生产方面开展工作做法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以及相关标准落实情况。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5.绿色回收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情况。主要描述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企业在绿色回收方面开展的工作做法，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以及相关标准落实情况。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6.绿色信息平台建设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情况。主要描述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企业在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绿色信息平台建设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方面开展的工作做法，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以及相关标准的落实情况。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7.绿色信息披露情况。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主要描述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企业在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绿色信息披露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方面开展的工作做法，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以及相关标准的落实情况。</w:t>
      </w:r>
    </w:p>
    <w:p>
      <w:pPr>
        <w:ind w:firstLine="640" w:firstLineChars="200"/>
        <w:rPr>
          <w:rFonts w:hint="default" w:ascii="Times New Roman" w:hAnsi="Times New Roman" w:eastAsia="黑体" w:cs="Times New Roman"/>
          <w:bCs/>
          <w:color w:val="000000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自评价结果</w:t>
      </w:r>
    </w:p>
    <w:tbl>
      <w:tblPr>
        <w:tblStyle w:val="4"/>
        <w:tblW w:w="8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4"/>
        <w:gridCol w:w="2780"/>
        <w:gridCol w:w="3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22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基本要求</w:t>
            </w:r>
          </w:p>
        </w:tc>
        <w:tc>
          <w:tcPr>
            <w:tcW w:w="667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□符合  □不符合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2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一级指标得分情况</w:t>
            </w:r>
          </w:p>
        </w:tc>
        <w:tc>
          <w:tcPr>
            <w:tcW w:w="27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绿色供应链管理战略</w:t>
            </w:r>
          </w:p>
        </w:tc>
        <w:tc>
          <w:tcPr>
            <w:tcW w:w="38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2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7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绿色供应商管理</w:t>
            </w:r>
          </w:p>
        </w:tc>
        <w:tc>
          <w:tcPr>
            <w:tcW w:w="38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2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7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绿色生产</w:t>
            </w:r>
          </w:p>
        </w:tc>
        <w:tc>
          <w:tcPr>
            <w:tcW w:w="38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2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7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绿色回收</w:t>
            </w:r>
          </w:p>
        </w:tc>
        <w:tc>
          <w:tcPr>
            <w:tcW w:w="38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2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7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绿色信息平台建设</w:t>
            </w:r>
          </w:p>
        </w:tc>
        <w:tc>
          <w:tcPr>
            <w:tcW w:w="38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2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7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绿色信息披露</w:t>
            </w:r>
          </w:p>
        </w:tc>
        <w:tc>
          <w:tcPr>
            <w:tcW w:w="38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上一年度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总得分</w:t>
            </w:r>
          </w:p>
        </w:tc>
        <w:tc>
          <w:tcPr>
            <w:tcW w:w="38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</w:tbl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  <w:highlight w:val="none"/>
          <w:lang w:val="en-US" w:eastAsia="zh-CN"/>
        </w:rPr>
        <w:t>四、</w:t>
      </w: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下一步工作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说明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企业未来发展目标，持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续推进绿色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供应链管理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方面拟开展的重点工作，拟实施的重大项目情况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1.绿色供应链管理未来目标。主要描述各项绩效指标在两年后（2024年)的预期目标。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2.绿色供应链管理企业创建重点工作。主要描述企业在2022-2024年为持续提升绿色供应链管理水平开展的重点工作任务情况。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3.减碳工作。主要描述企业在减少供应链碳排放方面的工作计划和减排目标。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4.重点项目情况。填写2022-2024年企业拟建设的绿色供应链相关重点项目汇总表，测算项目节能、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节水、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节材、减排、降碳和资源综合利用绩效。</w:t>
      </w:r>
    </w:p>
    <w:p>
      <w:pPr>
        <w:numPr>
          <w:ilvl w:val="0"/>
          <w:numId w:val="0"/>
        </w:numPr>
        <w:spacing w:before="0" w:beforeLines="0" w:after="0" w:afterLines="0" w:line="360" w:lineRule="auto"/>
        <w:ind w:firstLine="640" w:firstLineChars="200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center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表xx 绿色供应链相关重点项目汇总表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580"/>
        <w:gridCol w:w="1828"/>
        <w:gridCol w:w="1420"/>
        <w:gridCol w:w="1420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项目建设期限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项目投资估算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项目效益分析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spacing w:before="0" w:beforeLines="0" w:after="0" w:afterLines="0" w:line="360" w:lineRule="auto"/>
        <w:ind w:firstLine="640" w:firstLineChars="200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  <w:highlight w:val="none"/>
          <w:lang w:val="en-US" w:eastAsia="zh-CN"/>
        </w:rPr>
        <w:t>五、</w:t>
      </w: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绿色</w:t>
      </w:r>
      <w:r>
        <w:rPr>
          <w:rFonts w:hint="eastAsia" w:ascii="Times New Roman" w:hAnsi="Times New Roman" w:eastAsia="黑体" w:cs="Times New Roman"/>
          <w:bCs/>
          <w:sz w:val="32"/>
          <w:szCs w:val="32"/>
          <w:highlight w:val="none"/>
          <w:lang w:val="en-US" w:eastAsia="zh-CN"/>
        </w:rPr>
        <w:t>供应链管理企业</w:t>
      </w: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创建自评表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依据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企业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情况和《绿色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供应链管理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评价要求》进行自评，并填写附表1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.1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和附表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2。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  <w:highlight w:val="none"/>
          <w:lang w:val="en-US" w:eastAsia="zh-CN"/>
        </w:rPr>
        <w:t>六、</w:t>
      </w: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相关证明材料</w:t>
      </w:r>
    </w:p>
    <w:p>
      <w:pPr>
        <w:spacing w:before="0" w:beforeLines="0" w:after="0" w:afterLines="0" w:line="360" w:lineRule="auto"/>
        <w:ind w:firstLine="640" w:firstLineChars="200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与基本要求和指标测算相关的证明材料。</w:t>
      </w:r>
    </w:p>
    <w:p>
      <w:pPr>
        <w:spacing w:before="0" w:beforeLines="0" w:after="0" w:afterLines="0" w:line="360" w:lineRule="auto"/>
        <w:ind w:firstLine="640" w:firstLineChars="200"/>
        <w:rPr>
          <w:rFonts w:hint="default" w:ascii="Times New Roman" w:hAnsi="Times New Roman" w:eastAsia="仿宋" w:cs="Times New Roman"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br w:type="page"/>
      </w:r>
      <w:r>
        <w:rPr>
          <w:rFonts w:hint="default" w:ascii="Times New Roman" w:hAnsi="Times New Roman" w:eastAsia="仿宋" w:cs="Times New Roman"/>
          <w:bCs/>
          <w:sz w:val="30"/>
          <w:szCs w:val="30"/>
          <w:lang w:val="en-US" w:eastAsia="zh-CN"/>
        </w:rPr>
        <w:t>附表1.1</w:t>
      </w:r>
    </w:p>
    <w:p>
      <w:pPr>
        <w:spacing w:before="0" w:beforeLines="0" w:after="0" w:afterLines="0" w:line="360" w:lineRule="auto"/>
        <w:ind w:firstLine="600" w:firstLineChars="200"/>
        <w:rPr>
          <w:rFonts w:hint="default" w:ascii="Times New Roman" w:hAnsi="Times New Roman" w:eastAsia="仿宋" w:cs="Times New Roman"/>
          <w:bCs/>
          <w:sz w:val="30"/>
          <w:szCs w:val="30"/>
          <w:lang w:val="en-US" w:eastAsia="zh-CN"/>
        </w:rPr>
      </w:pPr>
    </w:p>
    <w:p>
      <w:pPr>
        <w:widowControl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b w:val="0"/>
          <w:bCs/>
          <w:sz w:val="36"/>
          <w:szCs w:val="36"/>
          <w:lang w:val="en-US" w:eastAsia="zh-CN"/>
        </w:rPr>
        <w:t>绿色</w:t>
      </w:r>
      <w:r>
        <w:rPr>
          <w:rFonts w:hint="eastAsia" w:ascii="Times New Roman" w:hAnsi="Times New Roman" w:eastAsia="黑体" w:cs="Times New Roman"/>
          <w:bCs/>
          <w:sz w:val="36"/>
          <w:szCs w:val="32"/>
          <w:lang w:val="en-US" w:eastAsia="zh-CN"/>
        </w:rPr>
        <w:t>供应链管理企业</w:t>
      </w:r>
      <w:r>
        <w:rPr>
          <w:rFonts w:hint="default" w:ascii="Times New Roman" w:hAnsi="Times New Roman" w:eastAsia="黑体" w:cs="Times New Roman"/>
          <w:bCs/>
          <w:sz w:val="36"/>
          <w:szCs w:val="32"/>
        </w:rPr>
        <w:t>基本要求自评表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0"/>
        <w:gridCol w:w="1417"/>
        <w:gridCol w:w="2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507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基本要求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是否符合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证明材料索引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5070" w:type="dxa"/>
            <w:noWrap w:val="0"/>
            <w:vAlign w:val="center"/>
          </w:tcPr>
          <w:p>
            <w:pPr>
              <w:widowControl/>
              <w:adjustRightInd w:val="0"/>
              <w:snapToGrid/>
              <w:spacing w:line="360" w:lineRule="auto"/>
              <w:jc w:val="left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具有独立法人资格。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5070" w:type="dxa"/>
            <w:noWrap w:val="0"/>
            <w:vAlign w:val="center"/>
          </w:tcPr>
          <w:p>
            <w:pPr>
              <w:widowControl/>
              <w:adjustRightInd w:val="0"/>
              <w:snapToGrid/>
              <w:spacing w:line="360" w:lineRule="auto"/>
              <w:jc w:val="left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具有较强的行业影响力。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5070" w:type="dxa"/>
            <w:noWrap w:val="0"/>
            <w:vAlign w:val="center"/>
          </w:tcPr>
          <w:p>
            <w:pPr>
              <w:widowControl/>
              <w:adjustRightInd w:val="0"/>
              <w:snapToGrid/>
              <w:spacing w:line="360" w:lineRule="auto"/>
              <w:jc w:val="left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具有较完善的能源资源、环境管理体系，各项管理制度健全，符合国家和地方的法律法规及标准规范要求，近三年无重大安全和环境污染事故。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5070" w:type="dxa"/>
            <w:noWrap w:val="0"/>
            <w:vAlign w:val="center"/>
          </w:tcPr>
          <w:p>
            <w:pPr>
              <w:widowControl/>
              <w:adjustRightInd w:val="0"/>
              <w:snapToGrid/>
              <w:spacing w:line="360" w:lineRule="auto"/>
              <w:jc w:val="left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拥有数量众多的供应商，在供应商中有很强的影响力，与上下游供应商建立良好的合作关系。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5070" w:type="dxa"/>
            <w:noWrap w:val="0"/>
            <w:vAlign w:val="center"/>
          </w:tcPr>
          <w:p>
            <w:pPr>
              <w:widowControl/>
              <w:adjustRightInd w:val="0"/>
              <w:snapToGrid/>
              <w:spacing w:line="360" w:lineRule="auto"/>
              <w:jc w:val="left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有完善的供应商管理体系，建立健全的供应商认证、选择、审核、绩效管理和退出机制。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5070" w:type="dxa"/>
            <w:noWrap w:val="0"/>
            <w:vAlign w:val="center"/>
          </w:tcPr>
          <w:p>
            <w:pPr>
              <w:adjustRightInd w:val="0"/>
              <w:snapToGrid/>
              <w:spacing w:line="360" w:lineRule="auto"/>
              <w:jc w:val="left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有健全的财务管理制度，销售盈利能力处于行业领先水平。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5070" w:type="dxa"/>
            <w:noWrap w:val="0"/>
            <w:vAlign w:val="center"/>
          </w:tcPr>
          <w:p>
            <w:pPr>
              <w:widowControl/>
              <w:adjustRightInd w:val="0"/>
              <w:snapToGrid/>
              <w:spacing w:line="360" w:lineRule="auto"/>
              <w:jc w:val="left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对实施绿色供应链管理有明确的工作目标、思路、计划和措施。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0"/>
          <w:szCs w:val="30"/>
          <w:lang w:val="en-US" w:eastAsia="zh-CN"/>
        </w:rPr>
        <w:t>附表1.2</w:t>
      </w:r>
    </w:p>
    <w:p>
      <w:pPr>
        <w:widowControl/>
        <w:jc w:val="center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绿色供应链管理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eastAsia="zh-CN"/>
        </w:rPr>
        <w:t>企业</w:t>
      </w:r>
      <w:r>
        <w:rPr>
          <w:rFonts w:hint="default" w:ascii="Times New Roman" w:hAnsi="Times New Roman" w:eastAsia="黑体" w:cs="Times New Roman"/>
          <w:bCs/>
          <w:sz w:val="32"/>
          <w:szCs w:val="32"/>
        </w:rPr>
        <w:t>评价指标体系</w:t>
      </w:r>
    </w:p>
    <w:p>
      <w:pPr>
        <w:autoSpaceDE w:val="0"/>
        <w:autoSpaceDN w:val="0"/>
        <w:adjustRightInd w:val="0"/>
        <w:jc w:val="center"/>
        <w:rPr>
          <w:rFonts w:hint="default" w:ascii="Times New Roman" w:hAnsi="Times New Roman" w:eastAsia="仿宋_GB2312" w:cs="Times New Roman"/>
          <w:b/>
          <w:kern w:val="0"/>
          <w:sz w:val="30"/>
          <w:szCs w:val="30"/>
        </w:rPr>
      </w:pPr>
      <w:r>
        <w:rPr>
          <w:rFonts w:hint="default" w:ascii="Times New Roman" w:hAnsi="Times New Roman" w:eastAsia="仿宋_GB2312" w:cs="Times New Roman"/>
          <w:b/>
          <w:kern w:val="0"/>
          <w:sz w:val="30"/>
          <w:szCs w:val="30"/>
        </w:rPr>
        <w:t>（20  年）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728"/>
        <w:gridCol w:w="3601"/>
        <w:gridCol w:w="840"/>
        <w:gridCol w:w="840"/>
        <w:gridCol w:w="10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  <w:t>一级指标</w:t>
            </w: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  <w:t>序号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  <w:t>二级指标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  <w:t>最高分值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lang w:val="en-US" w:eastAsia="zh-CN"/>
              </w:rPr>
              <w:t>得分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  <w:t>证明材料索引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绿色供应链管理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战略X1</w:t>
            </w: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纳入公司发展规划X11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8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2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制定绿色供应链管理目标X12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6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3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设置专门管理机构X13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6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实施绿色供应商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管理X2</w:t>
            </w: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4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绿色采购标准制度完善X21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4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5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供应商认证体系完善X22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3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6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对供应商定期审核X23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3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7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供应商绩效评估制度健全X24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3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8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定期对供应商进行培训X25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3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9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低风险供应商占比X26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4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绿色生产X3</w:t>
            </w: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10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节能减排环保合规X31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10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11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符合有害物质限制使用管理办法X32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10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绿色回收X4</w:t>
            </w: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12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产品回收率X41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5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13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包装回收率X42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5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14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回收体系完善（含自建、与第三方联合回收）X43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5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15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指导下游企业回收拆解X44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5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绿色信息平台建设X5</w:t>
            </w: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16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绿色供应链管理信息平台完善X51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10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1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绿色信息披露X6</w:t>
            </w: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17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披露企业节能减排减碳信息X61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2.5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18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披露高、中风险供应商审核率及低风险供应商占比X62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2.5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19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披露供应商节能减排信息X63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2.5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20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发布企业社会责任报告（含绿色采购信息）X64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2.5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</w:tbl>
    <w:p>
      <w:pPr>
        <w:ind w:firstLine="602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b/>
          <w:sz w:val="30"/>
          <w:szCs w:val="30"/>
        </w:rPr>
        <w:t>说明：</w:t>
      </w:r>
      <w:r>
        <w:rPr>
          <w:rFonts w:hint="default" w:ascii="Times New Roman" w:hAnsi="Times New Roman" w:eastAsia="仿宋" w:cs="Times New Roman"/>
          <w:sz w:val="30"/>
          <w:szCs w:val="30"/>
        </w:rPr>
        <w:t>为便于绿色供应链管理评价，现对《绿色供应链管理评价要求》（《工业和信息化部办公厅关于开展绿色制造体系建设的通知》工信厅节函〔2016〕586号 附件3）中的绿色供应链管理指数公式进行简化，具体计算公式简化为：</w:t>
      </w:r>
    </w:p>
    <w:p>
      <w:pPr>
        <w:tabs>
          <w:tab w:val="center" w:pos="4153"/>
        </w:tabs>
        <w:jc w:val="left"/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position w:val="-30"/>
          <w:sz w:val="32"/>
          <w:szCs w:val="32"/>
        </w:rPr>
        <w:object>
          <v:shape id="_x0000_i1025" o:spt="75" type="#_x0000_t75" style="height:44.35pt;width:410.25pt;" o:ole="t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5">
            <o:LockedField>false</o:LockedField>
          </o:OLEObject>
        </w:object>
      </w:r>
    </w:p>
    <w:p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黑体" w:cs="Times New Roman"/>
          <w:sz w:val="32"/>
          <w:szCs w:val="32"/>
        </w:rPr>
        <w:t>-2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               </w:t>
      </w:r>
    </w:p>
    <w:p>
      <w:pPr>
        <w:spacing w:line="360" w:lineRule="auto"/>
        <w:jc w:val="center"/>
        <w:rPr>
          <w:rFonts w:hint="default" w:ascii="Times New Roman" w:hAnsi="Times New Roman" w:eastAsia="方正小标宋简体" w:cs="Times New Roman"/>
          <w:bCs/>
          <w:sz w:val="52"/>
          <w:szCs w:val="52"/>
        </w:rPr>
      </w:pPr>
    </w:p>
    <w:p>
      <w:pPr>
        <w:spacing w:line="360" w:lineRule="auto"/>
        <w:jc w:val="center"/>
        <w:rPr>
          <w:rFonts w:hint="default" w:ascii="Times New Roman" w:hAnsi="Times New Roman" w:eastAsia="方正小标宋简体" w:cs="Times New Roman"/>
          <w:bCs/>
          <w:sz w:val="52"/>
          <w:szCs w:val="52"/>
        </w:rPr>
      </w:pPr>
    </w:p>
    <w:p>
      <w:pPr>
        <w:spacing w:line="360" w:lineRule="auto"/>
        <w:jc w:val="center"/>
        <w:rPr>
          <w:rFonts w:hint="default" w:ascii="Times New Roman" w:hAnsi="Times New Roman" w:eastAsia="黑体" w:cs="Times New Roman"/>
          <w:bCs/>
          <w:sz w:val="52"/>
          <w:szCs w:val="52"/>
        </w:rPr>
      </w:pPr>
      <w:r>
        <w:rPr>
          <w:rFonts w:hint="default" w:ascii="Times New Roman" w:hAnsi="Times New Roman" w:eastAsia="黑体" w:cs="Times New Roman"/>
          <w:bCs/>
          <w:sz w:val="52"/>
          <w:szCs w:val="52"/>
        </w:rPr>
        <w:t>绿色供应链管理</w:t>
      </w:r>
      <w:r>
        <w:rPr>
          <w:rFonts w:hint="default" w:ascii="Times New Roman" w:hAnsi="Times New Roman" w:eastAsia="黑体" w:cs="Times New Roman"/>
          <w:bCs/>
          <w:sz w:val="52"/>
          <w:szCs w:val="52"/>
          <w:lang w:eastAsia="zh-CN"/>
        </w:rPr>
        <w:t>企业</w:t>
      </w:r>
    </w:p>
    <w:p>
      <w:pPr>
        <w:spacing w:line="360" w:lineRule="auto"/>
        <w:jc w:val="center"/>
        <w:rPr>
          <w:rFonts w:hint="default" w:ascii="Times New Roman" w:hAnsi="Times New Roman" w:eastAsia="黑体" w:cs="Times New Roman"/>
          <w:bCs/>
          <w:sz w:val="52"/>
          <w:szCs w:val="52"/>
        </w:rPr>
      </w:pPr>
      <w:r>
        <w:rPr>
          <w:rFonts w:hint="default" w:ascii="Times New Roman" w:hAnsi="Times New Roman" w:eastAsia="黑体" w:cs="Times New Roman"/>
          <w:bCs/>
          <w:sz w:val="52"/>
          <w:szCs w:val="52"/>
        </w:rPr>
        <w:t>第三方评价报告</w:t>
      </w:r>
    </w:p>
    <w:p>
      <w:pPr>
        <w:rPr>
          <w:rFonts w:hint="default" w:ascii="Times New Roman" w:hAnsi="Times New Roman" w:eastAsia="仿宋_GB2312" w:cs="Times New Roman"/>
          <w:sz w:val="28"/>
        </w:rPr>
      </w:pPr>
    </w:p>
    <w:p>
      <w:pPr>
        <w:rPr>
          <w:rFonts w:hint="default" w:ascii="Times New Roman" w:hAnsi="Times New Roman" w:eastAsia="仿宋_GB2312" w:cs="Times New Roman"/>
          <w:sz w:val="28"/>
        </w:rPr>
      </w:pPr>
    </w:p>
    <w:p>
      <w:pPr>
        <w:rPr>
          <w:rFonts w:hint="default" w:ascii="Times New Roman" w:hAnsi="Times New Roman" w:eastAsia="方正仿宋简体" w:cs="Times New Roman"/>
          <w:sz w:val="32"/>
        </w:rPr>
      </w:pPr>
    </w:p>
    <w:p>
      <w:pPr>
        <w:rPr>
          <w:rFonts w:hint="default" w:ascii="Times New Roman" w:hAnsi="Times New Roman" w:eastAsia="方正仿宋简体" w:cs="Times New Roman"/>
          <w:sz w:val="32"/>
          <w:szCs w:val="32"/>
        </w:rPr>
      </w:pPr>
    </w:p>
    <w:p>
      <w:pPr>
        <w:rPr>
          <w:rFonts w:hint="default" w:ascii="Times New Roman" w:hAnsi="Times New Roman" w:eastAsia="方正仿宋简体" w:cs="Times New Roman"/>
          <w:sz w:val="32"/>
          <w:szCs w:val="32"/>
        </w:rPr>
      </w:pPr>
    </w:p>
    <w:p>
      <w:pPr>
        <w:spacing w:line="360" w:lineRule="auto"/>
        <w:ind w:firstLine="960" w:firstLineChars="3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2556510</wp:posOffset>
                </wp:positionH>
                <wp:positionV relativeFrom="paragraph">
                  <wp:posOffset>279400</wp:posOffset>
                </wp:positionV>
                <wp:extent cx="2733040" cy="635"/>
                <wp:effectExtent l="0" t="0" r="0" b="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3304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01.3pt;margin-top:22pt;height:0.05pt;width:215.2pt;z-index:251661312;mso-width-relative:page;mso-height-relative:page;" o:connectortype="straight" filled="f" coordsize="21600,21600" o:gfxdata="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BFxVQ3YAAAACQEAAA8AAAAAAAAAAQAgAAAAIgAAAGRy&#10;cy9kb3ducmV2LnhtbFBLAQIUABQAAAAIAIdO4kA2kX2uBQIAAPgDAAAOAAAAAAAAAAEAIAAAACcB&#10;AABkcnMvZTJvRG9jLnhtbFBLBQYAAAAABgAGAFkBAACeBQAAAAA=&#10;">
                <v:path arrowok="t"/>
                <v:fill on="f" focussize="0,0"/>
                <v:stroke miterlimit="2"/>
                <v:imagedata o:title=""/>
                <o:lock v:ext="edit"/>
              </v:shape>
            </w:pict>
          </mc:Fallback>
        </mc:AlternateConten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企    业   名   称： </w:t>
      </w:r>
    </w:p>
    <w:p>
      <w:pPr>
        <w:spacing w:line="360" w:lineRule="auto"/>
        <w:ind w:firstLine="1920" w:firstLineChars="600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spacing w:line="360" w:lineRule="auto"/>
        <w:ind w:firstLine="960" w:firstLineChars="3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2565400</wp:posOffset>
                </wp:positionH>
                <wp:positionV relativeFrom="paragraph">
                  <wp:posOffset>273685</wp:posOffset>
                </wp:positionV>
                <wp:extent cx="2700020" cy="635"/>
                <wp:effectExtent l="0" t="0" r="0" b="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0002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02pt;margin-top:21.55pt;height:0.05pt;width:212.6pt;z-index:251662336;mso-width-relative:page;mso-height-relative:page;" o:connectortype="straight" filled="f" coordsize="21600,21600" o:gfxdata="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c3243dkAAAAJAQAADwAAAAAAAAABACAAAAAiAAAAZHJz&#10;L2Rvd25yZXYueG1sUEsBAhQAFAAAAAgAh07iQLagzlEDAgAA+AMAAA4AAAAAAAAAAQAgAAAAKAEA&#10;AGRycy9lMm9Eb2MueG1sUEsFBgAAAAAGAAYAWQEAAJ0FAAAAAA==&#10;">
                <v:path arrowok="t"/>
                <v:fill on="f" focussize="0,0"/>
                <v:stroke miterlimit="2"/>
                <v:imagedata o:title=""/>
                <o:lock v:ext="edit"/>
              </v:shape>
            </w:pict>
          </mc:Fallback>
        </mc:AlternateContent>
      </w:r>
      <w:r>
        <w:rPr>
          <w:rFonts w:hint="default" w:ascii="Times New Roman" w:hAnsi="Times New Roman" w:eastAsia="仿宋" w:cs="Times New Roman"/>
          <w:sz w:val="32"/>
          <w:szCs w:val="32"/>
        </w:rPr>
        <w:t>第三方评价机构名称</w:t>
      </w:r>
    </w:p>
    <w:p>
      <w:pPr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   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firstLine="3200" w:firstLineChars="10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工业和信息化部制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20   年      月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spacing w:line="360" w:lineRule="auto"/>
        <w:jc w:val="center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6"/>
          <w:szCs w:val="36"/>
        </w:rPr>
        <w:br w:type="page"/>
      </w:r>
      <w:r>
        <w:rPr>
          <w:rFonts w:hint="default" w:ascii="Times New Roman" w:hAnsi="Times New Roman" w:eastAsia="黑体" w:cs="Times New Roman"/>
          <w:bCs/>
          <w:sz w:val="32"/>
          <w:szCs w:val="32"/>
        </w:rPr>
        <w:t>基本信息表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0"/>
        <w:gridCol w:w="2876"/>
        <w:gridCol w:w="1701"/>
        <w:gridCol w:w="2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522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</w:rPr>
              <w:t>一、企业基本信息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1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6612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1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6612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1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eastAsia="zh-CN"/>
              </w:rPr>
              <w:t>单位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性质</w:t>
            </w:r>
          </w:p>
        </w:tc>
        <w:tc>
          <w:tcPr>
            <w:tcW w:w="6612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内资（□国有□集体□民营）□中外合资□港澳台□外商独资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522" w:type="dxa"/>
            <w:gridSpan w:val="4"/>
            <w:tcBorders>
              <w:top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</w:rPr>
              <w:t>二、第三方机构信息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1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第三方机构名称</w:t>
            </w:r>
          </w:p>
        </w:tc>
        <w:tc>
          <w:tcPr>
            <w:tcW w:w="6612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1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第三方机构地址</w:t>
            </w:r>
          </w:p>
        </w:tc>
        <w:tc>
          <w:tcPr>
            <w:tcW w:w="6612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1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机构法定代表人</w:t>
            </w:r>
          </w:p>
        </w:tc>
        <w:tc>
          <w:tcPr>
            <w:tcW w:w="287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法人代表电话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1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机构联系人</w:t>
            </w:r>
          </w:p>
        </w:tc>
        <w:tc>
          <w:tcPr>
            <w:tcW w:w="287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联系人电话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1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报告编制人</w:t>
            </w:r>
          </w:p>
        </w:tc>
        <w:tc>
          <w:tcPr>
            <w:tcW w:w="287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编制人电话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1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报告审核人</w:t>
            </w:r>
          </w:p>
        </w:tc>
        <w:tc>
          <w:tcPr>
            <w:tcW w:w="287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审核人电话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522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</w:rPr>
              <w:t>三、绿色供应链管理</w:t>
            </w: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  <w:lang w:eastAsia="zh-CN"/>
              </w:rPr>
              <w:t>企业</w:t>
            </w: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</w:rPr>
              <w:t>评价结果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91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基本要求</w:t>
            </w:r>
          </w:p>
        </w:tc>
        <w:tc>
          <w:tcPr>
            <w:tcW w:w="287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□符合  □不符合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评价得分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3" w:hRule="atLeast"/>
        </w:trPr>
        <w:tc>
          <w:tcPr>
            <w:tcW w:w="191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受评价方主要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亮点</w:t>
            </w:r>
          </w:p>
        </w:tc>
        <w:tc>
          <w:tcPr>
            <w:tcW w:w="6612" w:type="dxa"/>
            <w:gridSpan w:val="3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请在100字以内概述受评价方主要亮点）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6" w:hRule="atLeast"/>
        </w:trPr>
        <w:tc>
          <w:tcPr>
            <w:tcW w:w="8522" w:type="dxa"/>
            <w:gridSpan w:val="4"/>
            <w:noWrap w:val="0"/>
            <w:vAlign w:val="center"/>
          </w:tcPr>
          <w:p>
            <w:pPr>
              <w:widowControl/>
              <w:spacing w:line="360" w:lineRule="auto"/>
              <w:ind w:firstLine="480" w:firstLineChars="20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本机构承诺，已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按规范完整的评价程序对受评价方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进行了全面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的评价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，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受评价方提交的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材料真实有效，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本评价报告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客观公正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结论证据充分，真实、准确的反映了评价过程的发现，严谨的出具结论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。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本机构已充分了解评价报告的严肃性，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评价过程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若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存在弄虚作假或故意隐瞒受评价方问题，本机构愿承担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所有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责任。</w:t>
            </w:r>
          </w:p>
          <w:p>
            <w:pPr>
              <w:widowControl/>
              <w:wordWrap w:val="0"/>
              <w:spacing w:line="360" w:lineRule="auto"/>
              <w:ind w:right="240"/>
              <w:jc w:val="right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  <w:highlight w:val="none"/>
              </w:rPr>
            </w:pPr>
          </w:p>
          <w:p>
            <w:pPr>
              <w:widowControl/>
              <w:wordWrap w:val="0"/>
              <w:spacing w:line="360" w:lineRule="auto"/>
              <w:ind w:right="240"/>
              <w:jc w:val="right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  <w:highlight w:val="none"/>
                <w:lang w:val="en-US" w:eastAsia="zh-CN"/>
              </w:rPr>
              <w:t>法人代表</w:t>
            </w: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  <w:highlight w:val="none"/>
              </w:rPr>
              <w:t xml:space="preserve">签字：             </w:t>
            </w:r>
          </w:p>
          <w:p>
            <w:pPr>
              <w:ind w:firstLine="4819" w:firstLineChars="2000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  <w:highlight w:val="none"/>
              </w:rPr>
              <w:t>（单位公章）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 xml:space="preserve">              </w:t>
            </w:r>
          </w:p>
          <w:p>
            <w:pPr>
              <w:widowControl/>
              <w:wordWrap w:val="0"/>
              <w:spacing w:line="360" w:lineRule="auto"/>
              <w:jc w:val="righ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 xml:space="preserve"> </w:t>
            </w:r>
          </w:p>
          <w:p>
            <w:pPr>
              <w:widowControl/>
              <w:wordWrap/>
              <w:spacing w:line="360" w:lineRule="auto"/>
              <w:ind w:right="482"/>
              <w:jc w:val="righ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</w:tbl>
    <w:p>
      <w:pPr>
        <w:jc w:val="center"/>
        <w:rPr>
          <w:rFonts w:hint="default" w:ascii="Times New Roman" w:hAnsi="Times New Roman" w:eastAsia="黑体" w:cs="Times New Roman"/>
          <w:bCs/>
          <w:sz w:val="44"/>
          <w:szCs w:val="44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snapToGrid w:val="0"/>
        <w:spacing w:line="480" w:lineRule="auto"/>
        <w:jc w:val="center"/>
        <w:outlineLvl w:val="0"/>
        <w:rPr>
          <w:rFonts w:hint="default" w:ascii="Times New Roman" w:hAnsi="Times New Roman" w:eastAsia="黑体" w:cs="Times New Roman"/>
          <w:bCs/>
          <w:color w:val="000000"/>
          <w:sz w:val="36"/>
          <w:szCs w:val="36"/>
        </w:rPr>
      </w:pPr>
    </w:p>
    <w:p>
      <w:pPr>
        <w:snapToGrid w:val="0"/>
        <w:spacing w:line="480" w:lineRule="auto"/>
        <w:jc w:val="center"/>
        <w:outlineLvl w:val="0"/>
        <w:rPr>
          <w:rFonts w:hint="default" w:ascii="Times New Roman" w:hAnsi="Times New Roman" w:eastAsia="黑体" w:cs="Times New Roman"/>
          <w:bCs/>
          <w:color w:val="000000"/>
          <w:sz w:val="36"/>
          <w:szCs w:val="36"/>
        </w:rPr>
      </w:pPr>
      <w:r>
        <w:rPr>
          <w:rFonts w:hint="default" w:ascii="Times New Roman" w:hAnsi="Times New Roman" w:eastAsia="黑体" w:cs="Times New Roman"/>
          <w:bCs/>
          <w:color w:val="000000"/>
          <w:sz w:val="36"/>
          <w:szCs w:val="36"/>
        </w:rPr>
        <w:t>绿色供应链管理</w:t>
      </w:r>
      <w:r>
        <w:rPr>
          <w:rFonts w:hint="default" w:ascii="Times New Roman" w:hAnsi="Times New Roman" w:eastAsia="黑体" w:cs="Times New Roman"/>
          <w:bCs/>
          <w:color w:val="000000"/>
          <w:sz w:val="36"/>
          <w:szCs w:val="36"/>
          <w:lang w:eastAsia="zh-CN"/>
        </w:rPr>
        <w:t>企业</w:t>
      </w:r>
      <w:r>
        <w:rPr>
          <w:rFonts w:hint="default" w:ascii="Times New Roman" w:hAnsi="Times New Roman" w:eastAsia="黑体" w:cs="Times New Roman"/>
          <w:bCs/>
          <w:color w:val="000000"/>
          <w:sz w:val="36"/>
          <w:szCs w:val="36"/>
        </w:rPr>
        <w:t>评价报告（格式）</w:t>
      </w:r>
    </w:p>
    <w:p>
      <w:pPr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一、概述</w:t>
      </w:r>
    </w:p>
    <w:p>
      <w:pPr>
        <w:ind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主要介绍企业绿色供应链管理评价的目的、依据及被评价企业的基本情况等。</w:t>
      </w:r>
    </w:p>
    <w:p>
      <w:pPr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二、评价过程</w:t>
      </w:r>
    </w:p>
    <w:p>
      <w:pPr>
        <w:ind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主要介绍评价组织安排、文件评审情况、现场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eastAsia="zh-CN"/>
        </w:rPr>
        <w:t>评价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情况、核查报告编写及内部技术复核情况。</w:t>
      </w:r>
    </w:p>
    <w:p>
      <w:pPr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三、评价内容</w:t>
      </w:r>
    </w:p>
    <w:p>
      <w:pPr>
        <w:ind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第三方应按以下内容对申报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企业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材料进行评价：</w:t>
      </w:r>
    </w:p>
    <w:p>
      <w:pPr>
        <w:numPr>
          <w:ilvl w:val="0"/>
          <w:numId w:val="0"/>
        </w:numPr>
        <w:ind w:left="0"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1、对企业申报基本要求的核查情况；</w:t>
      </w:r>
    </w:p>
    <w:p>
      <w:pPr>
        <w:numPr>
          <w:ilvl w:val="0"/>
          <w:numId w:val="0"/>
        </w:numPr>
        <w:ind w:left="0"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2、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对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企业自评价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报告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中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绿色供应链管理战略、实施绿色供应商管理、绿色生产、绿色回收、绿色信息平台建设、绿色信息披露等方面等方面内容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的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核实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情况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；</w:t>
      </w:r>
    </w:p>
    <w:p>
      <w:pPr>
        <w:numPr>
          <w:ilvl w:val="0"/>
          <w:numId w:val="0"/>
        </w:numPr>
        <w:ind w:left="0"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3、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对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企业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自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评价过程中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所出现的问题情况进行描述。</w:t>
      </w:r>
    </w:p>
    <w:p>
      <w:pPr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四、评价结论</w:t>
      </w:r>
    </w:p>
    <w:p>
      <w:pPr>
        <w:ind w:firstLine="600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对申报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企业</w:t>
      </w:r>
      <w:r>
        <w:rPr>
          <w:rFonts w:hint="default" w:ascii="Times New Roman" w:hAnsi="Times New Roman" w:eastAsia="仿宋" w:cs="Times New Roman"/>
          <w:sz w:val="30"/>
          <w:szCs w:val="30"/>
        </w:rPr>
        <w:t>是否符合绿色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供应链管理评价</w:t>
      </w:r>
      <w:r>
        <w:rPr>
          <w:rFonts w:hint="default" w:ascii="Times New Roman" w:hAnsi="Times New Roman" w:eastAsia="仿宋" w:cs="Times New Roman"/>
          <w:sz w:val="30"/>
          <w:szCs w:val="30"/>
        </w:rPr>
        <w:t>要求进行评价，给出评价得分，描述主要创建做法、工作亮点和仍存在的问题等。</w:t>
      </w:r>
    </w:p>
    <w:p>
      <w:pPr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五、建议</w:t>
      </w:r>
    </w:p>
    <w:p>
      <w:pPr>
        <w:ind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对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企业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持续创建绿色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供应链管理企业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的下一步工作提出建议。</w:t>
      </w:r>
    </w:p>
    <w:p>
      <w:pPr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六、参考文件</w:t>
      </w:r>
    </w:p>
    <w:p>
      <w:pPr>
        <w:ind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列出报告编写过程中所使用的相关参考文件（与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eastAsia="zh-CN"/>
        </w:rPr>
        <w:t>附表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2.1及附表2.2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的证明材料索引一栏对应）。</w:t>
      </w:r>
    </w:p>
    <w:p>
      <w:pPr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七、第三方机构资质符合性证明材料</w:t>
      </w:r>
    </w:p>
    <w:p>
      <w:pPr>
        <w:ind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列出第三方机构满足条件的资质符合性证明材料。</w:t>
      </w:r>
    </w:p>
    <w:p>
      <w:pPr>
        <w:spacing w:after="156" w:afterLines="50" w:line="360" w:lineRule="auto"/>
        <w:jc w:val="both"/>
        <w:rPr>
          <w:rFonts w:hint="default" w:ascii="Times New Roman" w:hAnsi="Times New Roman" w:eastAsia="黑体" w:cs="Times New Roman"/>
          <w:bCs/>
          <w:sz w:val="32"/>
          <w:szCs w:val="32"/>
        </w:rPr>
      </w:pPr>
    </w:p>
    <w:p>
      <w:pPr>
        <w:spacing w:after="156" w:afterLines="50" w:line="360" w:lineRule="auto"/>
        <w:jc w:val="center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绿色供应链管理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eastAsia="zh-CN"/>
        </w:rPr>
        <w:t>企业</w:t>
      </w:r>
      <w:r>
        <w:rPr>
          <w:rFonts w:hint="default" w:ascii="Times New Roman" w:hAnsi="Times New Roman" w:eastAsia="黑体" w:cs="Times New Roman"/>
          <w:bCs/>
          <w:sz w:val="32"/>
          <w:szCs w:val="32"/>
        </w:rPr>
        <w:t>一般要求符合性评价表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217"/>
        <w:gridCol w:w="20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421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一般要求</w:t>
            </w:r>
          </w:p>
        </w:tc>
        <w:tc>
          <w:tcPr>
            <w:tcW w:w="221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是否符合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  <w:t>符合性说明及</w:t>
            </w: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证明材料索引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219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具有独立法人资格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22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086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219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具有较强的行业影响力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22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086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4219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具有较完善的能源资源、环境管理体系，各项管理制度健全，符合国家和地方的法律法规及标准规范要求，近三年无重大安全和环境污染事故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22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086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4219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拥有数量众多的供应商，在供应商中有很强的影响力，与上下游供应商建立良好的合作关系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22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086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4219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有完善的供应商管理体系，建立健全的供应商认证、选择、审核、绩效管理和退出机制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22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086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421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有健全的财务管理制度，销售盈利能力处于行业领先水平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221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08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4219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对实施绿色供应链管理有明确的工作目标、思路、计划和措施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22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086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</w:tbl>
    <w:p>
      <w:pPr>
        <w:spacing w:line="360" w:lineRule="auto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</w:p>
    <w:p>
      <w:pPr>
        <w:widowControl/>
        <w:jc w:val="center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br w:type="page"/>
      </w:r>
      <w:r>
        <w:rPr>
          <w:rFonts w:hint="default" w:ascii="Times New Roman" w:hAnsi="Times New Roman" w:eastAsia="黑体" w:cs="Times New Roman"/>
          <w:bCs/>
          <w:sz w:val="32"/>
          <w:szCs w:val="32"/>
        </w:rPr>
        <w:t>绿色供应链管理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eastAsia="zh-CN"/>
        </w:rPr>
        <w:t>企业</w:t>
      </w:r>
      <w:r>
        <w:rPr>
          <w:rFonts w:hint="default" w:ascii="Times New Roman" w:hAnsi="Times New Roman" w:eastAsia="黑体" w:cs="Times New Roman"/>
          <w:bCs/>
          <w:sz w:val="32"/>
          <w:szCs w:val="32"/>
        </w:rPr>
        <w:t>评价指标体系</w:t>
      </w:r>
    </w:p>
    <w:p>
      <w:pPr>
        <w:autoSpaceDE w:val="0"/>
        <w:autoSpaceDN w:val="0"/>
        <w:adjustRightInd w:val="0"/>
        <w:jc w:val="center"/>
        <w:rPr>
          <w:rFonts w:hint="default" w:ascii="Times New Roman" w:hAnsi="Times New Roman" w:eastAsia="仿宋_GB2312" w:cs="Times New Roman"/>
          <w:b/>
          <w:kern w:val="0"/>
          <w:sz w:val="30"/>
          <w:szCs w:val="30"/>
        </w:rPr>
      </w:pPr>
      <w:r>
        <w:rPr>
          <w:rFonts w:hint="default" w:ascii="Times New Roman" w:hAnsi="Times New Roman" w:eastAsia="仿宋_GB2312" w:cs="Times New Roman"/>
          <w:b/>
          <w:kern w:val="0"/>
          <w:sz w:val="30"/>
          <w:szCs w:val="30"/>
        </w:rPr>
        <w:t>（20  年）</w:t>
      </w:r>
    </w:p>
    <w:tbl>
      <w:tblPr>
        <w:tblStyle w:val="4"/>
        <w:tblW w:w="91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728"/>
        <w:gridCol w:w="3601"/>
        <w:gridCol w:w="719"/>
        <w:gridCol w:w="840"/>
        <w:gridCol w:w="1285"/>
        <w:gridCol w:w="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一级指标</w:t>
            </w: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序号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二级指标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单位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最高分值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符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合性说明及证明材料索引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绿色供应链管理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战略X1</w:t>
            </w: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纳入公司发展规划X11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8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2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制定绿色供应链管理目标X12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6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3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设置专门管理机构X13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6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实施绿色供应商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管理X2</w:t>
            </w: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4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绿色采购标准制度完善X21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4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5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供应商认证体系完善X22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3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6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对供应商定期审核X23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3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7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供应商绩效评估制度健全X24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3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8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定期对供应商进行培训X25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3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9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低风险供应商占比X26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%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4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绿色生产X3</w:t>
            </w: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10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节能减排环保合规X31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10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11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符合有害物质限制使用管理办法X32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10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绿色回收X4</w:t>
            </w: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12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产品回收率X41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%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5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13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包装回收率X42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%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5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14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回收体系完善（含自建、与第三方联合回收）X43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5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15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指导下游企业回收拆解X44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5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绿色信息平台建设X5</w:t>
            </w: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16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绿色供应链管理信息平台完善X51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10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1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绿色信息披露X6</w:t>
            </w: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17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披露企业节能减排减碳信息X61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2.5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18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披露高、中风险供应商审核率及低风险供应商占比X62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2.5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19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披露供应商节能减排信息X63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2.5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20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发布企业社会责任报告（含绿色采购信息）X64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2.5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</w:tbl>
    <w:p>
      <w:pPr>
        <w:ind w:firstLine="602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b/>
          <w:sz w:val="30"/>
          <w:szCs w:val="30"/>
        </w:rPr>
        <w:t>说明：</w:t>
      </w:r>
      <w:r>
        <w:rPr>
          <w:rFonts w:hint="default" w:ascii="Times New Roman" w:hAnsi="Times New Roman" w:eastAsia="仿宋" w:cs="Times New Roman"/>
          <w:sz w:val="30"/>
          <w:szCs w:val="30"/>
        </w:rPr>
        <w:t>为便于绿色供应链管理评价，现对《绿色供应链管理评价要求》（《工业和信息化部办公厅关于开展绿色制造体系建设的通知》工信厅节函〔2016〕586号 附件3）中的绿色供应链管理指数公式进行简化，具体计算公式简化为：</w:t>
      </w:r>
    </w:p>
    <w:p>
      <w:pPr>
        <w:tabs>
          <w:tab w:val="center" w:pos="4153"/>
        </w:tabs>
        <w:jc w:val="left"/>
        <w:rPr>
          <w:rFonts w:hint="default" w:ascii="Times New Roman" w:hAnsi="Times New Roman" w:eastAsia="仿宋_GB2312" w:cs="Times New Roman"/>
          <w:position w:val="-30"/>
          <w:sz w:val="32"/>
          <w:szCs w:val="32"/>
        </w:rPr>
      </w:pPr>
      <w:r>
        <w:rPr>
          <w:rFonts w:hint="default" w:ascii="Times New Roman" w:hAnsi="Times New Roman" w:eastAsia="仿宋_GB2312" w:cs="Times New Roman"/>
          <w:position w:val="-30"/>
          <w:sz w:val="32"/>
          <w:szCs w:val="32"/>
        </w:rPr>
        <w:object>
          <v:shape id="_x0000_i1026" o:spt="75" type="#_x0000_t75" style="height:44.35pt;width:410.25pt;" o:ole="t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7">
            <o:LockedField>false</o:LockedField>
          </o:OLEObject>
        </w:object>
      </w:r>
    </w:p>
    <w:p>
      <w:pPr>
        <w:ind w:firstLine="0" w:firstLineChars="0"/>
        <w:rPr>
          <w:rFonts w:hint="default" w:ascii="Times New Roman" w:hAnsi="Times New Roman" w:eastAsia="仿宋_GB2312" w:cs="Times New Roman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00000000000000000"/>
    <w:charset w:val="00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 w:ascii="仿宋_GB2312" w:hAnsi="仿宋_GB2312" w:eastAsia="仿宋_GB2312" w:cs="仿宋_GB2312"/>
        <w:sz w:val="22"/>
        <w:szCs w:val="22"/>
      </w:rPr>
    </w:pPr>
    <w:r>
      <w:rPr>
        <w:rFonts w:ascii="Times New Roman" w:hAnsi="Times New Roman" w:cs="Times New Roman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97vqatIBAACjAwAADgAAAAAAAAABACAAAAAi&#10;AQAAZHJzL2Uyb0RvYy54bWxQSwUGAAAAAAYABgBZAQAAZg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Cs w:val="21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BBF12C"/>
    <w:multiLevelType w:val="singleLevel"/>
    <w:tmpl w:val="A5BBF12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4NDVjMTE3MDg2MTA0MDY3Y2RmZDEyZWUzYTljY2IifQ=="/>
  </w:docVars>
  <w:rsids>
    <w:rsidRoot w:val="00000000"/>
    <w:rsid w:val="0FD42DDB"/>
    <w:rsid w:val="1C232942"/>
    <w:rsid w:val="4769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utoSpaceDE w:val="0"/>
      <w:autoSpaceDN w:val="0"/>
      <w:ind w:left="120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列出段落2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oleObject" Target="embeddings/oleObject2.bin"/><Relationship Id="rId6" Type="http://schemas.openxmlformats.org/officeDocument/2006/relationships/image" Target="media/image1.w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2022-07-13T00:32:00Z</dcterms:created>
  <dc:creator>Administrator</dc:creator>
  <cp:lastModifiedBy>让我保留</cp:lastModifiedBy>
  <dcterms:modified xsi:type="dcterms:W3CDTF">2023-04-25T09:29:55Z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7E00D0F0EE09410DA1235507BF62C7E7</vt:lpwstr>
  </property>
</Properties>
</file>