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autoSpaceDE/>
        <w:autoSpaceDN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广西壮族自治区2022年创新联合体名单</w:t>
      </w:r>
    </w:p>
    <w:p>
      <w:pPr>
        <w:pStyle w:val="2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4"/>
        <w:tblW w:w="980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2268"/>
        <w:gridCol w:w="47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28"/>
                <w:szCs w:val="28"/>
              </w:rPr>
              <w:t>创新联合体名称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28"/>
                <w:szCs w:val="28"/>
              </w:rPr>
              <w:t>牵头组建单位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28"/>
                <w:szCs w:val="28"/>
              </w:rPr>
              <w:t>成员单位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广西壮族自治区</w:t>
            </w:r>
            <w:r>
              <w:rPr>
                <w:rFonts w:hint="eastAsia" w:ascii="仿宋_GB2312" w:eastAsia="仿宋_GB2312"/>
                <w:sz w:val="28"/>
                <w:szCs w:val="28"/>
              </w:rPr>
              <w:t>智能网联商用汽车产业创新联合体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东风柳州汽车有限公司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安交通大学；华中科技大学；东南大学；广西大学；北京建筑大学；桂林电子科技大学；广西科技大学；广西产研院时空信息技术研究所有限公司；柳州市智能制造科技服务中心；方盛车桥（柳州）有限公司；广西成电智能制造产业技术有限责任公司；广西龙行未来科技服务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广西壮族自治区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基于双碳战略的低碳胶凝材料关键技术及产业化创新联合体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广西鱼峰水泥股份有限公司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桂林理工大学；广西大学；广西科技大学；广西建筑材料科学研究设计院有限公司；广西绿色水泥产业工程院有限公司；桂林鸿程矿山设备制造有限责任公司；北海鱼峰环保科技有限公司；广西鱼峰混凝土有限公司；柳州工学院；广西都安西江鱼峰水泥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广西壮族自治区</w:t>
            </w:r>
            <w:r>
              <w:rPr>
                <w:rFonts w:hint="eastAsia" w:ascii="仿宋_GB2312" w:eastAsia="仿宋_GB2312"/>
                <w:sz w:val="28"/>
                <w:szCs w:val="28"/>
              </w:rPr>
              <w:t>光电芯片及微系统创新联合体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中国电子科技集团公司第三十四研究所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雄安创新研究院；桂林电子科技大学；广西师范大学；联合微电子中心有限责任公司；广西产研院先进技术融合创新促进中心有限公司；西安电子科技大学；桂林理工大学；桂林长海发展有限责任公司；桂林聚联科技有限公司；广西华南通信股份有限公司；桂林申首半导体科技有限公司；南京鹰目电子科技有限公司；桂林市晶瑞传感技术有限公司；微源光子（深圳）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广西壮族自治区</w:t>
            </w:r>
            <w:r>
              <w:rPr>
                <w:rFonts w:hint="eastAsia" w:ascii="仿宋_GB2312" w:eastAsia="仿宋_GB2312"/>
                <w:sz w:val="28"/>
                <w:szCs w:val="28"/>
              </w:rPr>
              <w:t>西部陆海新通道（平陆运河）智慧绿色港航建设创新联合体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广西交通设计集团有限公司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西壮族自治区港航发展中心；广西北部湾国际港务集团有限公司；广西西江开发投资集团有限公司；大连海事大学；广西壮族自治区交通运输信息管理中心；武汉理工大学；交通运输部科学研究院；交通运输部水运科学研究所；交通运输部天津水运工程科学研究所；中国交通通信信息中心；广西交通职业技术学院；华为技术有限公司；中船重工鹏力（南京）大气海洋信息系统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广西壮族自治区</w:t>
            </w:r>
            <w:r>
              <w:rPr>
                <w:rFonts w:hint="eastAsia" w:ascii="仿宋_GB2312" w:eastAsia="仿宋_GB2312"/>
                <w:sz w:val="28"/>
                <w:szCs w:val="28"/>
              </w:rPr>
              <w:t>中药民族药研究开发及智能制造产业化创新联合体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桂林三金药业股份有限公司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桂林三金大健康产业有限公司；广西壮族自治区食品药品检验所；浙江大学；广西医科大学第一附属医院；广西壮族自治区中国科学院广西植物研究所；广西师范大学；桂林医学院；苏州泽达兴邦医药科技有限公司；桂林市食品药品检验所</w:t>
            </w:r>
          </w:p>
        </w:tc>
      </w:tr>
    </w:tbl>
    <w:p>
      <w:pPr>
        <w:spacing w:line="240" w:lineRule="exact"/>
        <w:jc w:val="left"/>
        <w:rPr>
          <w:rFonts w:eastAsia="仿宋_GB2312"/>
          <w:sz w:val="32"/>
          <w:szCs w:val="32"/>
        </w:rPr>
      </w:pPr>
    </w:p>
    <w:p>
      <w:pPr>
        <w:spacing w:line="300" w:lineRule="exact"/>
        <w:jc w:val="left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F03FF"/>
    <w:rsid w:val="3C1F03FF"/>
    <w:rsid w:val="71EA0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cs="宋体" w:hAnsiTheme="minorHAnsi" w:eastAsiaTheme="minorEastAsia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2022-09-06T03:10:00Z</dcterms:created>
  <dc:creator>李堃怡</dc:creator>
  <cp:lastModifiedBy>李堃怡</cp:lastModifiedBy>
  <dcterms:modified xsi:type="dcterms:W3CDTF">2022-09-06T03:11:33Z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